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F0" w:rsidRPr="005B0984" w:rsidRDefault="00E400F0" w:rsidP="00E400F0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>গণপ্রজাতন্ত্রী বাংলাদেশ সরকার</w:t>
      </w:r>
    </w:p>
    <w:p w:rsidR="00E400F0" w:rsidRPr="005B0984" w:rsidRDefault="00E400F0" w:rsidP="00E400F0">
      <w:pPr>
        <w:spacing w:after="0" w:line="240" w:lineRule="auto"/>
        <w:jc w:val="center"/>
        <w:rPr>
          <w:rFonts w:cs="Times New Roman"/>
          <w:b/>
        </w:rPr>
      </w:pPr>
      <w:r w:rsidRPr="005B0984">
        <w:rPr>
          <w:rFonts w:ascii="Nikosh" w:eastAsia="Nikosh" w:hAnsi="Nikosh" w:cs="Nikosh"/>
          <w:b/>
          <w:bCs/>
          <w:cs/>
          <w:lang w:bidi="bn-BD"/>
        </w:rPr>
        <w:t>মৎস্য ও প্রাণিসম্পদ মন্ত্রণালয়</w:t>
      </w:r>
    </w:p>
    <w:p w:rsidR="00E400F0" w:rsidRPr="005B0984" w:rsidRDefault="00E400F0" w:rsidP="00E400F0">
      <w:pPr>
        <w:spacing w:after="0" w:line="240" w:lineRule="auto"/>
        <w:jc w:val="center"/>
        <w:rPr>
          <w:rFonts w:cs="Times New Roman"/>
          <w:b/>
        </w:rPr>
      </w:pPr>
      <w:r w:rsidRPr="005B0984">
        <w:rPr>
          <w:rFonts w:ascii="Nikosh" w:eastAsia="Nikosh" w:hAnsi="Nikosh" w:cs="Nikosh"/>
          <w:b/>
          <w:bCs/>
          <w:cs/>
          <w:lang w:bidi="bn-BD"/>
        </w:rPr>
        <w:t>প্রাণিসম্পদ -২ অধিশাখা</w:t>
      </w:r>
    </w:p>
    <w:p w:rsidR="00E400F0" w:rsidRPr="005B0984" w:rsidRDefault="00E400F0" w:rsidP="00E400F0">
      <w:pPr>
        <w:spacing w:after="0" w:line="240" w:lineRule="auto"/>
        <w:jc w:val="center"/>
        <w:rPr>
          <w:b/>
          <w:u w:val="single"/>
        </w:rPr>
      </w:pPr>
      <w:hyperlink r:id="rId4" w:history="1">
        <w:r w:rsidRPr="005B0984">
          <w:rPr>
            <w:rStyle w:val="Hyperlink"/>
            <w:b/>
          </w:rPr>
          <w:t>www.mofl.gov.bd</w:t>
        </w:r>
      </w:hyperlink>
    </w:p>
    <w:p w:rsidR="00E400F0" w:rsidRPr="005B0984" w:rsidRDefault="00E400F0" w:rsidP="00E400F0">
      <w:pPr>
        <w:spacing w:after="0" w:line="240" w:lineRule="auto"/>
        <w:rPr>
          <w:rFonts w:cs="Times New Roman"/>
          <w:b/>
          <w:u w:val="single"/>
        </w:rPr>
      </w:pP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</w:r>
      <w:r w:rsidRPr="005B0984">
        <w:rPr>
          <w:rFonts w:ascii="Nikosh" w:eastAsia="Nikosh" w:hAnsi="Nikosh" w:cs="Nikosh"/>
          <w:cs/>
          <w:lang w:bidi="bn-BD"/>
        </w:rPr>
        <w:tab/>
        <w:t xml:space="preserve">         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lang w:bidi="bn-BD"/>
        </w:rPr>
        <w:t xml:space="preserve">  </w:t>
      </w:r>
      <w:r w:rsidRPr="005B0984">
        <w:rPr>
          <w:rFonts w:ascii="Nikosh" w:eastAsia="Nikosh" w:hAnsi="Nikosh" w:cs="Nikosh"/>
          <w:cs/>
          <w:lang w:bidi="bn-BD"/>
        </w:rPr>
        <w:t xml:space="preserve">০৮ কার্তিক ১৪২১         </w:t>
      </w:r>
    </w:p>
    <w:p w:rsidR="00E400F0" w:rsidRPr="005B0984" w:rsidRDefault="00E400F0" w:rsidP="00E400F0">
      <w:pPr>
        <w:pStyle w:val="Header"/>
        <w:tabs>
          <w:tab w:val="clear" w:pos="4320"/>
          <w:tab w:val="clear" w:pos="8640"/>
        </w:tabs>
        <w:rPr>
          <w:rFonts w:cs="Times New Roman"/>
          <w:sz w:val="22"/>
          <w:szCs w:val="22"/>
        </w:rPr>
      </w:pP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>নথি নং-৩৩.০০.০০০০.১১৮.০৬.০০২.১৪-৫৩১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         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  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তারিখ</w:t>
      </w:r>
      <w:r>
        <w:rPr>
          <w:rFonts w:ascii="Nikosh" w:eastAsia="Nikosh" w:hAnsi="Nikosh" w:cs="Nikosh"/>
          <w:sz w:val="22"/>
          <w:szCs w:val="22"/>
          <w:lang w:bidi="bn-BD"/>
        </w:rPr>
        <w:t>: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--------------------</w:t>
      </w:r>
    </w:p>
    <w:p w:rsidR="00E400F0" w:rsidRPr="005B0984" w:rsidRDefault="00E400F0" w:rsidP="00E400F0">
      <w:pPr>
        <w:pStyle w:val="Header"/>
        <w:tabs>
          <w:tab w:val="clear" w:pos="4320"/>
          <w:tab w:val="clear" w:pos="8640"/>
        </w:tabs>
        <w:rPr>
          <w:rFonts w:cs="Times New Roman"/>
          <w:sz w:val="22"/>
          <w:szCs w:val="22"/>
        </w:rPr>
      </w:pP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    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  <w:t xml:space="preserve">        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>
        <w:rPr>
          <w:rFonts w:ascii="Nikosh" w:eastAsia="Nikosh" w:hAnsi="Nikosh" w:cs="Nikosh"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>২৩ অক্টোবর ২০১৪</w:t>
      </w:r>
    </w:p>
    <w:p w:rsidR="00E400F0" w:rsidRPr="005B0984" w:rsidRDefault="00E400F0" w:rsidP="00E400F0">
      <w:pPr>
        <w:pStyle w:val="BodyText2"/>
        <w:spacing w:line="240" w:lineRule="auto"/>
        <w:ind w:left="72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বিষয়</w:t>
      </w:r>
      <w:r>
        <w:rPr>
          <w:rFonts w:ascii="Nikosh" w:eastAsia="Nikosh" w:hAnsi="Nikosh" w:cs="Nikosh"/>
          <w:b/>
          <w:bCs/>
          <w:sz w:val="22"/>
          <w:szCs w:val="22"/>
          <w:lang w:bidi="bn-BD"/>
        </w:rPr>
        <w:t>:</w:t>
      </w:r>
      <w:r w:rsidRPr="005B0984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ab/>
      </w:r>
      <w:r w:rsidRPr="005B0984">
        <w:rPr>
          <w:rFonts w:ascii="Nikosh" w:eastAsia="Nikosh" w:hAnsi="Nikosh" w:cs="Nikosh"/>
          <w:b/>
          <w:bCs/>
          <w:color w:val="000000"/>
          <w:sz w:val="22"/>
          <w:szCs w:val="22"/>
          <w:cs/>
          <w:lang w:bidi="bn-BD"/>
        </w:rPr>
        <w:t xml:space="preserve"> </w:t>
      </w:r>
      <w:r w:rsidRPr="005B0984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কৃত্রিম প্রজনন কার্যক্রমের উপরকরণাদি ক্রয় বিষয়ক গঠিত কমিটি </w:t>
      </w: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পুনর্গঠন</w:t>
      </w:r>
      <w:r w:rsidRPr="005B0984">
        <w:rPr>
          <w:rFonts w:ascii="Nikosh" w:eastAsia="Nikosh" w:hAnsi="Nikosh" w:cs="Nikosh"/>
          <w:b/>
          <w:bCs/>
          <w:sz w:val="22"/>
          <w:szCs w:val="22"/>
          <w:cs/>
          <w:lang w:bidi="hi-IN"/>
        </w:rPr>
        <w:t xml:space="preserve">। </w:t>
      </w:r>
    </w:p>
    <w:p w:rsidR="00E400F0" w:rsidRPr="005B0984" w:rsidRDefault="00E400F0" w:rsidP="00E400F0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 </w:t>
      </w:r>
    </w:p>
    <w:p w:rsidR="00E400F0" w:rsidRPr="005B0984" w:rsidRDefault="00E400F0" w:rsidP="00E400F0">
      <w:pPr>
        <w:pStyle w:val="BodyText2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Nikosh" w:eastAsia="Nikosh" w:hAnsi="Nikosh" w:cs="Nikosh"/>
          <w:sz w:val="22"/>
          <w:szCs w:val="22"/>
          <w:cs/>
          <w:lang w:bidi="bn-BD"/>
        </w:rPr>
        <w:t>সূত্র</w:t>
      </w:r>
      <w:r>
        <w:rPr>
          <w:rFonts w:ascii="Nikosh" w:eastAsia="Nikosh" w:hAnsi="Nikosh" w:cs="Nikosh"/>
          <w:sz w:val="22"/>
          <w:szCs w:val="22"/>
          <w:lang w:bidi="bn-BD"/>
        </w:rPr>
        <w:t>: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ab/>
        <w:t>প্রাণিসম্পদ অধিদপ্তরের স্মারক নং-এলএস/পিইসি-৩(৮ম খন্ড)/২০১৪/৪৩৭ তারিখ ০১-১০-২০১৪।</w:t>
      </w:r>
    </w:p>
    <w:p w:rsidR="00E400F0" w:rsidRPr="005B0984" w:rsidRDefault="00E400F0" w:rsidP="00E400F0">
      <w:pPr>
        <w:pStyle w:val="BodyTextIndent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E400F0" w:rsidRDefault="00E400F0" w:rsidP="00E400F0">
      <w:pPr>
        <w:pStyle w:val="BodyText2"/>
        <w:spacing w:line="240" w:lineRule="auto"/>
        <w:ind w:firstLine="720"/>
        <w:rPr>
          <w:rFonts w:ascii="Nikosh" w:eastAsia="Nikosh" w:hAnsi="Nikosh" w:cs="Nikosh"/>
          <w:sz w:val="22"/>
          <w:szCs w:val="22"/>
          <w:lang w:bidi="bn-BD"/>
        </w:rPr>
      </w:pP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>উপর্যুক্ত বিষয় ও সূত্রস্থ পত্রের প্রে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 xml:space="preserve">ক্ষিতে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>কৃত্রিম প্রজনন কার্যক্রমের উপকরণাদি ক্রয় সংক্রা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ন্ত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নিমণবর্ণিত কমিটি সমূহ (দরপত্র স্পেসিফিকেশন ও বাজার দর যাচাই, দরপত্র খোলা (</w:t>
      </w:r>
      <w:r w:rsidRPr="005B0984">
        <w:rPr>
          <w:rFonts w:ascii="Times New Roman" w:hAnsi="Times New Roman"/>
          <w:sz w:val="22"/>
          <w:szCs w:val="22"/>
        </w:rPr>
        <w:t xml:space="preserve">TOC), 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দরপত্র মূল্যায়ন </w:t>
      </w:r>
      <w:r w:rsidRPr="005B0984">
        <w:rPr>
          <w:rFonts w:ascii="Times New Roman" w:hAnsi="Times New Roman"/>
          <w:sz w:val="22"/>
          <w:szCs w:val="22"/>
        </w:rPr>
        <w:t>(TEC)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ও মালামাল গ্রহণ কমিটি দরপত্র স্পেসিফিকেশন ও বাজার দর যাচাই, দরপত্র খোলা (</w:t>
      </w:r>
      <w:r w:rsidRPr="005B0984">
        <w:rPr>
          <w:rFonts w:ascii="Times New Roman" w:hAnsi="Times New Roman"/>
          <w:sz w:val="22"/>
          <w:szCs w:val="22"/>
        </w:rPr>
        <w:t>TOC)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>, দরপত্র মূল্যায়ন (</w:t>
      </w:r>
      <w:r w:rsidRPr="005B0984">
        <w:rPr>
          <w:rFonts w:ascii="Times New Roman" w:hAnsi="Times New Roman"/>
          <w:sz w:val="22"/>
          <w:szCs w:val="22"/>
        </w:rPr>
        <w:t>TEC)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 ও মালামাল গ্রহণ কমিটি পুনর্গঠনে প্র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স্তা</w:t>
      </w: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 xml:space="preserve">বিত কমিটি অনুমোদন করা হল। </w:t>
      </w:r>
    </w:p>
    <w:p w:rsidR="00E400F0" w:rsidRPr="005B0984" w:rsidRDefault="00E400F0" w:rsidP="00E400F0">
      <w:pPr>
        <w:pStyle w:val="BodyText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E400F0" w:rsidRPr="005B0984" w:rsidRDefault="00E400F0" w:rsidP="00E400F0">
      <w:pPr>
        <w:pStyle w:val="BodyText2"/>
        <w:spacing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Nikosh" w:eastAsia="Nikosh" w:hAnsi="Nikosh" w:cs="Nikosh"/>
          <w:b/>
          <w:bCs/>
          <w:sz w:val="22"/>
          <w:szCs w:val="22"/>
          <w:u w:val="single"/>
          <w:cs/>
          <w:lang w:bidi="bn-BD"/>
        </w:rPr>
        <w:t>ক)</w:t>
      </w:r>
      <w:r>
        <w:rPr>
          <w:rFonts w:ascii="Nikosh" w:eastAsia="Nikosh" w:hAnsi="Nikosh" w:cs="Nikosh" w:hint="cs"/>
          <w:b/>
          <w:bCs/>
          <w:sz w:val="22"/>
          <w:szCs w:val="22"/>
          <w:u w:val="single"/>
          <w:cs/>
          <w:lang w:bidi="bn-BD"/>
        </w:rPr>
        <w:t xml:space="preserve"> </w:t>
      </w:r>
      <w:r w:rsidRPr="005B0984">
        <w:rPr>
          <w:rFonts w:ascii="Nikosh" w:eastAsia="Nikosh" w:hAnsi="Nikosh" w:cs="Nikosh"/>
          <w:b/>
          <w:bCs/>
          <w:sz w:val="22"/>
          <w:szCs w:val="22"/>
          <w:u w:val="single"/>
          <w:cs/>
          <w:lang w:bidi="bn-BD"/>
        </w:rPr>
        <w:t>দরপত্র স্পেসিফিকেশন ও বাজার দর যাচাই কমিটি</w:t>
      </w: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6192"/>
        <w:gridCol w:w="1620"/>
      </w:tblGrid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ক্রমিক নং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কর্মকর্তার নাম ও পদবী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কমিটিতে অবস্থান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পরিচালক (এ,আই ল্যাব), কৃত্রিম প্রজনন ও ঘাস উৎপাদন, সাভার,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সভাপতি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০২।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ড. মোঃ সাহেব আলী, ইউ,এল,ও লীভ রিজার্ভ পদ, প্রাণিসম্পদ অধিদপ্তর,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০৩।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জনাব কুতুব উদ্দিন তালুকদার, সম্প্রসারণ কর্মকর্তা, কৃত্রিম প্রজনন ও ঘাস উৎপাদন, সাভার, ঢাকা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সদস্য</w:t>
            </w:r>
          </w:p>
        </w:tc>
      </w:tr>
    </w:tbl>
    <w:p w:rsidR="00E400F0" w:rsidRDefault="00E400F0" w:rsidP="00E400F0">
      <w:pPr>
        <w:pStyle w:val="BodyText2"/>
        <w:spacing w:line="240" w:lineRule="auto"/>
        <w:rPr>
          <w:rFonts w:ascii="Nikosh" w:eastAsia="Nikosh" w:hAnsi="Nikosh" w:cs="Nikosh" w:hint="cs"/>
          <w:b/>
          <w:bCs/>
          <w:sz w:val="22"/>
          <w:szCs w:val="22"/>
          <w:u w:val="single"/>
          <w:lang w:bidi="bn-BD"/>
        </w:rPr>
      </w:pPr>
    </w:p>
    <w:p w:rsidR="00E400F0" w:rsidRPr="005B0984" w:rsidRDefault="00E400F0" w:rsidP="00E400F0">
      <w:pPr>
        <w:pStyle w:val="BodyText2"/>
        <w:spacing w:line="240" w:lineRule="auto"/>
        <w:rPr>
          <w:rFonts w:ascii="NikoshBAN" w:eastAsia="NikoshBAN" w:hAnsi="NikoshBAN" w:cs="NikoshBAN"/>
          <w:b/>
          <w:sz w:val="22"/>
          <w:szCs w:val="22"/>
          <w:u w:val="single"/>
        </w:rPr>
      </w:pPr>
      <w:r>
        <w:rPr>
          <w:rFonts w:ascii="Nikosh" w:eastAsia="Nikosh" w:hAnsi="Nikosh" w:cs="Nikosh"/>
          <w:b/>
          <w:bCs/>
          <w:sz w:val="22"/>
          <w:szCs w:val="22"/>
          <w:u w:val="single"/>
          <w:cs/>
          <w:lang w:bidi="bn-BD"/>
        </w:rPr>
        <w:t>খ)</w:t>
      </w:r>
      <w:r>
        <w:rPr>
          <w:rFonts w:ascii="Nikosh" w:eastAsia="Nikosh" w:hAnsi="Nikosh" w:cs="Nikosh" w:hint="cs"/>
          <w:b/>
          <w:bCs/>
          <w:sz w:val="22"/>
          <w:szCs w:val="22"/>
          <w:u w:val="single"/>
          <w:cs/>
          <w:lang w:bidi="bn-BD"/>
        </w:rPr>
        <w:t xml:space="preserve"> </w:t>
      </w:r>
      <w:r w:rsidRPr="005B0984">
        <w:rPr>
          <w:rFonts w:ascii="Nikosh" w:eastAsia="Nikosh" w:hAnsi="Nikosh" w:cs="Nikosh"/>
          <w:b/>
          <w:bCs/>
          <w:sz w:val="22"/>
          <w:szCs w:val="22"/>
          <w:u w:val="single"/>
          <w:cs/>
          <w:lang w:bidi="bn-BD"/>
        </w:rPr>
        <w:t>দরপত্র খোলা কমিটি (</w:t>
      </w:r>
      <w:r w:rsidRPr="005B0984">
        <w:rPr>
          <w:rFonts w:ascii="Times New Roman" w:hAnsi="Times New Roman"/>
          <w:b/>
          <w:sz w:val="22"/>
          <w:szCs w:val="22"/>
          <w:u w:val="single"/>
        </w:rPr>
        <w:t>TOC)</w:t>
      </w: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6192"/>
        <w:gridCol w:w="1620"/>
      </w:tblGrid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ক্রমিক নং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কর্মকর্তার নাম ও পদবী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কমিটিতে অবস্থান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পরিচালক (এ,আই ল্যাব), কৃত্রিম প্রজনন ও ঘাস উৎপাদন, সাভার,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সভাপতি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০২।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পরিসংখ্যান কর্মকর্তা, কৃত্রিম প্রজনন ও ঘাস উৎপাদন, প্রাণিসম্পদ অধিদপ্তর,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০৩।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পরিচালক (খামার), প্রাণিসম্পদ অধিদপ্তর,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সদস্য</w:t>
            </w:r>
          </w:p>
        </w:tc>
      </w:tr>
    </w:tbl>
    <w:p w:rsidR="00E400F0" w:rsidRDefault="00E400F0" w:rsidP="00E400F0">
      <w:pPr>
        <w:pStyle w:val="BodyText2"/>
        <w:spacing w:line="240" w:lineRule="auto"/>
        <w:rPr>
          <w:rFonts w:ascii="Nikosh" w:eastAsia="Nikosh" w:hAnsi="Nikosh" w:cs="Nikosh" w:hint="cs"/>
          <w:b/>
          <w:bCs/>
          <w:sz w:val="22"/>
          <w:szCs w:val="22"/>
          <w:u w:val="single"/>
          <w:lang w:bidi="bn-BD"/>
        </w:rPr>
      </w:pPr>
    </w:p>
    <w:p w:rsidR="00E400F0" w:rsidRPr="005B0984" w:rsidRDefault="00E400F0" w:rsidP="00E400F0">
      <w:pPr>
        <w:pStyle w:val="BodyText2"/>
        <w:spacing w:line="240" w:lineRule="auto"/>
        <w:rPr>
          <w:rFonts w:ascii="NikoshBAN" w:eastAsia="NikoshBAN" w:hAnsi="NikoshBAN" w:cs="NikoshBAN"/>
          <w:b/>
          <w:sz w:val="22"/>
          <w:szCs w:val="22"/>
          <w:u w:val="single"/>
        </w:rPr>
      </w:pPr>
      <w:r>
        <w:rPr>
          <w:rFonts w:ascii="Nikosh" w:eastAsia="Nikosh" w:hAnsi="Nikosh" w:cs="Nikosh"/>
          <w:b/>
          <w:bCs/>
          <w:sz w:val="22"/>
          <w:szCs w:val="22"/>
          <w:u w:val="single"/>
          <w:cs/>
          <w:lang w:bidi="bn-BD"/>
        </w:rPr>
        <w:t xml:space="preserve">গ) </w:t>
      </w:r>
      <w:r w:rsidRPr="005B0984">
        <w:rPr>
          <w:rFonts w:ascii="Nikosh" w:eastAsia="Nikosh" w:hAnsi="Nikosh" w:cs="Nikosh"/>
          <w:b/>
          <w:bCs/>
          <w:sz w:val="22"/>
          <w:szCs w:val="22"/>
          <w:u w:val="single"/>
          <w:cs/>
          <w:lang w:bidi="bn-BD"/>
        </w:rPr>
        <w:t>দরপত্র মূল্যায়ন কমিটি (</w:t>
      </w:r>
      <w:r w:rsidRPr="005B0984">
        <w:rPr>
          <w:rFonts w:ascii="Times New Roman" w:hAnsi="Times New Roman"/>
          <w:b/>
          <w:sz w:val="22"/>
          <w:szCs w:val="22"/>
          <w:u w:val="single"/>
        </w:rPr>
        <w:t>TEC)</w:t>
      </w: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6192"/>
        <w:gridCol w:w="1620"/>
      </w:tblGrid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ক্রমিক নং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কর্মকর্তার নাম ও পদবী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কমিটিতে অবস্থান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 অর্থনীতিবিদ, প্রাণিসম্পদ অধিদপ্তর, বাংলাদেশ,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সভাপতি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০২।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পরিচালক (প্রশাসন), কৃত্রিম প্রজনন ও ঘাস উৎপাদন, প্রাণিসম্পদ অধিদপ্তর,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০৩।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পরিচালক (খামার), প্রাণিসম্পদ অধিদপ্তর,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spacing w:after="0" w:line="240" w:lineRule="auto"/>
              <w:jc w:val="center"/>
            </w:pPr>
            <w:r w:rsidRPr="005B0984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০৪।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ডাঃ মোঃ আজিজুর রহমান, সহকারী পরিচালক (উৎপাদন), প্রাণিসম্পদ অধিদপ্তর,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spacing w:after="0" w:line="240" w:lineRule="auto"/>
              <w:jc w:val="center"/>
            </w:pPr>
            <w:r w:rsidRPr="005B0984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০৫।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মেট্রোপলিটন কৃষি কর্মকর্তা, কৃষি সম্প্রসারণ দপ্তর, গুলশান,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spacing w:after="0" w:line="240" w:lineRule="auto"/>
              <w:jc w:val="center"/>
            </w:pPr>
            <w:r w:rsidRPr="005B0984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০৬।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হিসাব র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ক্ষণ </w:t>
            </w: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কর্মকর্তা, যুব উন্নয়ন অধিদপ্তর,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spacing w:after="0" w:line="240" w:lineRule="auto"/>
              <w:jc w:val="center"/>
            </w:pPr>
            <w:r w:rsidRPr="005B0984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০৭।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জনাব মোঃ সাইদুর রহমান, স্টোর অফিসার, পিইসি শাখা, প্রাণিসম্পদ অধিদপ্তর,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spacing w:after="0" w:line="240" w:lineRule="auto"/>
              <w:jc w:val="center"/>
            </w:pPr>
            <w:r w:rsidRPr="005B0984">
              <w:rPr>
                <w:rFonts w:ascii="Nikosh" w:eastAsia="Nikosh" w:hAnsi="Nikosh" w:cs="Nikosh"/>
                <w:cs/>
                <w:lang w:bidi="bn-BD"/>
              </w:rPr>
              <w:t>সদস্য</w:t>
            </w:r>
          </w:p>
        </w:tc>
      </w:tr>
    </w:tbl>
    <w:p w:rsidR="00E400F0" w:rsidRDefault="00E400F0" w:rsidP="00E400F0">
      <w:pPr>
        <w:pStyle w:val="BodyText2"/>
        <w:spacing w:line="240" w:lineRule="auto"/>
        <w:rPr>
          <w:rFonts w:ascii="Nikosh" w:eastAsia="Nikosh" w:hAnsi="Nikosh" w:cs="Nikosh" w:hint="cs"/>
          <w:b/>
          <w:bCs/>
          <w:sz w:val="22"/>
          <w:szCs w:val="22"/>
          <w:u w:val="single"/>
          <w:lang w:bidi="bn-BD"/>
        </w:rPr>
      </w:pPr>
    </w:p>
    <w:p w:rsidR="00E400F0" w:rsidRPr="005B0984" w:rsidRDefault="00E400F0" w:rsidP="00E400F0">
      <w:pPr>
        <w:pStyle w:val="BodyText2"/>
        <w:spacing w:line="240" w:lineRule="auto"/>
        <w:rPr>
          <w:rFonts w:ascii="NikoshBAN" w:eastAsia="NikoshBAN" w:hAnsi="NikoshBAN" w:cs="NikoshBAN"/>
          <w:b/>
          <w:sz w:val="22"/>
          <w:szCs w:val="22"/>
          <w:u w:val="single"/>
        </w:rPr>
      </w:pPr>
      <w:r>
        <w:rPr>
          <w:rFonts w:ascii="Nikosh" w:eastAsia="Nikosh" w:hAnsi="Nikosh" w:cs="Nikosh"/>
          <w:b/>
          <w:bCs/>
          <w:sz w:val="22"/>
          <w:szCs w:val="22"/>
          <w:u w:val="single"/>
          <w:cs/>
          <w:lang w:bidi="bn-BD"/>
        </w:rPr>
        <w:t xml:space="preserve">ঘ) </w:t>
      </w:r>
      <w:r w:rsidRPr="005B0984">
        <w:rPr>
          <w:rFonts w:ascii="Nikosh" w:eastAsia="Nikosh" w:hAnsi="Nikosh" w:cs="Nikosh"/>
          <w:b/>
          <w:bCs/>
          <w:sz w:val="22"/>
          <w:szCs w:val="22"/>
          <w:u w:val="single"/>
          <w:cs/>
          <w:lang w:bidi="bn-BD"/>
        </w:rPr>
        <w:t>মালামাল গ্রহণ কমিটি</w:t>
      </w: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6192"/>
        <w:gridCol w:w="1620"/>
      </w:tblGrid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ক্রমিক নং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কর্মকর্তার নাম ও পদবী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কমিটিতে অবস্থান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পরিচালক (প্রশাসন), কৃত্রিম প্রজনন ও ঘাস উৎপাদন, প্রাণিসম্পদ অধিদপ্তর,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সভাপতি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০২।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পরিচালক (এ,আই ল্যাব), কৃত্রিম প্রজনন ও ঘাস উৎপাদন, সাভার,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০৩।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প্রকল্প পরিচালক, বিফ ক্যাটল ডেভেলপমেন্ট প্রজেক্ট, প্রাণিসম্পদ অধিদপ্তর, ঢাকা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০৪।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সিনিয়র সায়েন্টিফিক অফিসার, এ্যানিমেল ব্রিডিং, সাভার,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E400F0" w:rsidRPr="005B0984" w:rsidTr="004E6A26">
        <w:tc>
          <w:tcPr>
            <w:tcW w:w="1008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০৫।</w:t>
            </w:r>
          </w:p>
        </w:tc>
        <w:tc>
          <w:tcPr>
            <w:tcW w:w="6192" w:type="dxa"/>
          </w:tcPr>
          <w:p w:rsidR="00E400F0" w:rsidRPr="005B0984" w:rsidRDefault="00E400F0" w:rsidP="004E6A26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ডেইরী প্রকৌশলী, কেন্দ্রীয় গো প্রজনন ও দুগ্ধ খামার, সাভার, ঢাকা।</w:t>
            </w:r>
          </w:p>
        </w:tc>
        <w:tc>
          <w:tcPr>
            <w:tcW w:w="1620" w:type="dxa"/>
          </w:tcPr>
          <w:p w:rsidR="00E400F0" w:rsidRPr="005B0984" w:rsidRDefault="00E400F0" w:rsidP="004E6A26">
            <w:pPr>
              <w:pStyle w:val="BodyText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98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সদস্য</w:t>
            </w:r>
          </w:p>
        </w:tc>
      </w:tr>
    </w:tbl>
    <w:p w:rsidR="00E400F0" w:rsidRDefault="00E400F0" w:rsidP="00E400F0">
      <w:pPr>
        <w:pStyle w:val="BodyText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400F0" w:rsidRPr="005B0984" w:rsidRDefault="00E400F0" w:rsidP="00E400F0">
      <w:pPr>
        <w:pStyle w:val="BodyText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400F0" w:rsidRPr="00A04147" w:rsidRDefault="00E400F0" w:rsidP="00E400F0">
      <w:pPr>
        <w:pStyle w:val="BodyText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414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স্বা</w:t>
      </w:r>
      <w:r>
        <w:rPr>
          <w:rFonts w:ascii="Nikosh" w:eastAsia="Nikosh" w:hAnsi="Nikosh" w:cs="Nikosh"/>
          <w:sz w:val="22"/>
          <w:szCs w:val="22"/>
          <w:lang w:bidi="bn-BD"/>
        </w:rPr>
        <w:t>: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-২৩/০৮</w:t>
      </w:r>
      <w:r w:rsidRPr="00A04147">
        <w:rPr>
          <w:rFonts w:ascii="Nikosh" w:eastAsia="Nikosh" w:hAnsi="Nikosh" w:cs="Nikosh"/>
          <w:sz w:val="22"/>
          <w:szCs w:val="22"/>
          <w:cs/>
          <w:lang w:bidi="bn-BD"/>
        </w:rPr>
        <w:t>/২০১</w:t>
      </w:r>
      <w:r>
        <w:rPr>
          <w:rFonts w:ascii="Nikosh" w:eastAsia="Nikosh" w:hAnsi="Nikosh" w:cs="Nikosh"/>
          <w:sz w:val="22"/>
          <w:szCs w:val="22"/>
          <w:cs/>
          <w:lang w:bidi="bn-BD"/>
        </w:rPr>
        <w:t>৪</w:t>
      </w:r>
    </w:p>
    <w:p w:rsidR="00E400F0" w:rsidRPr="005B0984" w:rsidRDefault="00E400F0" w:rsidP="00E400F0">
      <w:pPr>
        <w:spacing w:after="0" w:line="240" w:lineRule="auto"/>
        <w:ind w:left="6840"/>
        <w:jc w:val="center"/>
        <w:rPr>
          <w:rFonts w:cs="Times New Roman"/>
        </w:rPr>
      </w:pPr>
      <w:r w:rsidRPr="005B0984">
        <w:rPr>
          <w:rFonts w:ascii="Nikosh" w:eastAsia="Nikosh" w:hAnsi="Nikosh" w:cs="Nikosh"/>
          <w:cs/>
          <w:lang w:bidi="bn-BD"/>
        </w:rPr>
        <w:t xml:space="preserve"> (দেলোয়ারা বেগম)</w:t>
      </w:r>
    </w:p>
    <w:p w:rsidR="00E400F0" w:rsidRPr="005B0984" w:rsidRDefault="00E400F0" w:rsidP="00E400F0">
      <w:pPr>
        <w:pStyle w:val="Heading6"/>
        <w:ind w:left="6840"/>
        <w:rPr>
          <w:rFonts w:ascii="Times New Roman" w:hAnsi="Times New Roman" w:cs="Times New Roman"/>
          <w:sz w:val="22"/>
          <w:szCs w:val="22"/>
        </w:rPr>
      </w:pPr>
      <w:r w:rsidRPr="005B0984">
        <w:rPr>
          <w:rFonts w:ascii="Nikosh" w:eastAsia="Nikosh" w:hAnsi="Nikosh" w:cs="Nikosh"/>
          <w:sz w:val="22"/>
          <w:szCs w:val="22"/>
          <w:cs/>
          <w:lang w:bidi="bn-BD"/>
        </w:rPr>
        <w:t>উপ-সচিব</w:t>
      </w:r>
    </w:p>
    <w:p w:rsidR="00E400F0" w:rsidRPr="005B0984" w:rsidRDefault="00E400F0" w:rsidP="00E400F0">
      <w:pPr>
        <w:spacing w:after="0" w:line="240" w:lineRule="auto"/>
        <w:ind w:left="6840"/>
        <w:jc w:val="center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ফোন</w:t>
      </w:r>
      <w:r>
        <w:rPr>
          <w:rFonts w:ascii="Nikosh" w:eastAsia="Nikosh" w:hAnsi="Nikosh" w:cs="Nikosh"/>
          <w:lang w:bidi="bn-BD"/>
        </w:rPr>
        <w:t>:</w:t>
      </w:r>
      <w:r w:rsidRPr="005B0984">
        <w:rPr>
          <w:rFonts w:ascii="Nikosh" w:eastAsia="Nikosh" w:hAnsi="Nikosh" w:cs="Nikosh"/>
          <w:cs/>
          <w:lang w:bidi="bn-BD"/>
        </w:rPr>
        <w:t xml:space="preserve"> ৯৫৬১১১৭</w:t>
      </w:r>
    </w:p>
    <w:p w:rsidR="00E400F0" w:rsidRPr="005B0984" w:rsidRDefault="00E400F0" w:rsidP="00E400F0">
      <w:pPr>
        <w:tabs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মহাপরিচালক (অ</w:t>
      </w:r>
      <w:r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cs/>
          <w:lang w:bidi="bn-BD"/>
        </w:rPr>
        <w:t xml:space="preserve"> দা</w:t>
      </w:r>
      <w:r>
        <w:rPr>
          <w:rFonts w:ascii="Nikosh" w:eastAsia="Nikosh" w:hAnsi="Nikosh" w:cs="Nikosh"/>
          <w:lang w:bidi="bn-BD"/>
        </w:rPr>
        <w:t>:</w:t>
      </w:r>
      <w:r w:rsidRPr="005B0984">
        <w:rPr>
          <w:rFonts w:ascii="Nikosh" w:eastAsia="Nikosh" w:hAnsi="Nikosh" w:cs="Nikosh"/>
          <w:cs/>
          <w:lang w:bidi="bn-BD"/>
        </w:rPr>
        <w:t>)</w:t>
      </w:r>
    </w:p>
    <w:p w:rsidR="00E400F0" w:rsidRPr="005B0984" w:rsidRDefault="00E400F0" w:rsidP="00E400F0">
      <w:pPr>
        <w:tabs>
          <w:tab w:val="left" w:pos="360"/>
        </w:tabs>
        <w:spacing w:after="0" w:line="240" w:lineRule="auto"/>
        <w:jc w:val="both"/>
        <w:rPr>
          <w:rFonts w:cs="Times New Roman"/>
        </w:rPr>
      </w:pPr>
      <w:r w:rsidRPr="005B0984">
        <w:rPr>
          <w:rFonts w:ascii="Nikosh" w:eastAsia="Nikosh" w:hAnsi="Nikosh" w:cs="Nikosh"/>
          <w:cs/>
          <w:lang w:bidi="bn-BD"/>
        </w:rPr>
        <w:t>প্রাণিসম্পদ অধিদপ্ত</w:t>
      </w:r>
      <w:r>
        <w:rPr>
          <w:rFonts w:ascii="Nikosh" w:eastAsia="Nikosh" w:hAnsi="Nikosh" w:cs="Nikosh" w:hint="cs"/>
          <w:cs/>
          <w:lang w:bidi="bn-BD"/>
        </w:rPr>
        <w:t>র</w:t>
      </w:r>
      <w:r w:rsidRPr="005B0984">
        <w:rPr>
          <w:rFonts w:ascii="Nikosh" w:eastAsia="Nikosh" w:hAnsi="Nikosh" w:cs="Nikosh"/>
          <w:cs/>
          <w:lang w:bidi="bn-BD"/>
        </w:rPr>
        <w:t>, ফার্মগেট, ঢাকা।</w:t>
      </w:r>
    </w:p>
    <w:p w:rsidR="00F313DD" w:rsidRDefault="00E400F0"/>
    <w:sectPr w:rsidR="00F313DD" w:rsidSect="00E400F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0F0"/>
    <w:rsid w:val="009623AC"/>
    <w:rsid w:val="00D9480C"/>
    <w:rsid w:val="00DC6411"/>
    <w:rsid w:val="00E4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F0"/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E400F0"/>
    <w:pPr>
      <w:keepNext/>
      <w:spacing w:after="0" w:line="240" w:lineRule="auto"/>
      <w:ind w:left="5040"/>
      <w:jc w:val="center"/>
      <w:outlineLvl w:val="5"/>
    </w:pPr>
    <w:rPr>
      <w:rFonts w:ascii="SutonnyMJ" w:eastAsia="Times New Roman" w:hAnsi="SutonnyMJ" w:cs="Symbo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400F0"/>
    <w:rPr>
      <w:rFonts w:ascii="SutonnyMJ" w:eastAsia="Times New Roman" w:hAnsi="SutonnyMJ" w:cs="Symbol"/>
      <w:sz w:val="28"/>
      <w:szCs w:val="28"/>
    </w:rPr>
  </w:style>
  <w:style w:type="paragraph" w:styleId="Header">
    <w:name w:val="header"/>
    <w:basedOn w:val="Normal"/>
    <w:link w:val="HeaderChar"/>
    <w:unhideWhenUsed/>
    <w:rsid w:val="00E40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00F0"/>
    <w:rPr>
      <w:rFonts w:ascii="Times New Roman" w:eastAsia="Times New Roman" w:hAnsi="Times New Roman" w:cs="Symbol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400F0"/>
    <w:pPr>
      <w:spacing w:after="0" w:line="240" w:lineRule="auto"/>
      <w:jc w:val="both"/>
    </w:pPr>
    <w:rPr>
      <w:rFonts w:ascii="SutonnyMJ" w:eastAsia="Times New Roman" w:hAnsi="SutonnyMJ" w:cs="Symbol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00F0"/>
    <w:rPr>
      <w:rFonts w:ascii="SutonnyMJ" w:eastAsia="Times New Roman" w:hAnsi="SutonnyMJ" w:cs="Symbol"/>
      <w:sz w:val="26"/>
      <w:szCs w:val="24"/>
    </w:rPr>
  </w:style>
  <w:style w:type="paragraph" w:styleId="BodyText2">
    <w:name w:val="Body Text 2"/>
    <w:basedOn w:val="Normal"/>
    <w:link w:val="BodyText2Char"/>
    <w:unhideWhenUsed/>
    <w:rsid w:val="00E400F0"/>
    <w:pPr>
      <w:spacing w:after="0" w:line="300" w:lineRule="auto"/>
      <w:jc w:val="both"/>
    </w:pPr>
    <w:rPr>
      <w:rFonts w:ascii="SutonnyMJ" w:eastAsia="Times New Roman" w:hAnsi="SutonnyMJ" w:cs="Symbo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0F0"/>
    <w:rPr>
      <w:rFonts w:ascii="SutonnyMJ" w:eastAsia="Times New Roman" w:hAnsi="SutonnyMJ" w:cs="Symbol"/>
      <w:sz w:val="24"/>
      <w:szCs w:val="24"/>
    </w:rPr>
  </w:style>
  <w:style w:type="character" w:styleId="Hyperlink">
    <w:name w:val="Hyperlink"/>
    <w:basedOn w:val="DefaultParagraphFont"/>
    <w:rsid w:val="00E400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0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0F0"/>
    <w:rPr>
      <w:rFonts w:eastAsiaTheme="minorEastAsia"/>
    </w:rPr>
  </w:style>
  <w:style w:type="paragraph" w:styleId="Title">
    <w:name w:val="Title"/>
    <w:basedOn w:val="Normal"/>
    <w:link w:val="TitleChar"/>
    <w:qFormat/>
    <w:rsid w:val="00E400F0"/>
    <w:pPr>
      <w:spacing w:after="0" w:line="240" w:lineRule="auto"/>
      <w:jc w:val="center"/>
    </w:pPr>
    <w:rPr>
      <w:rFonts w:ascii="SutonnyMJ" w:eastAsia="Times New Roman" w:hAnsi="SutonnyMJ" w:cs="Symbo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00F0"/>
    <w:rPr>
      <w:rFonts w:ascii="SutonnyMJ" w:eastAsia="Times New Roman" w:hAnsi="SutonnyMJ" w:cs="Symbo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f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2365</Characters>
  <Application>Microsoft Office Word</Application>
  <DocSecurity>0</DocSecurity>
  <Lines>19</Lines>
  <Paragraphs>5</Paragraphs>
  <ScaleCrop>false</ScaleCrop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1</cp:revision>
  <dcterms:created xsi:type="dcterms:W3CDTF">2015-06-28T05:13:00Z</dcterms:created>
  <dcterms:modified xsi:type="dcterms:W3CDTF">2015-06-28T05:18:00Z</dcterms:modified>
</cp:coreProperties>
</file>